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39A3A" w14:textId="0FAE6D5C" w:rsidR="008F5BA4" w:rsidRPr="003675E7" w:rsidRDefault="008F5BA4" w:rsidP="008F5BA4">
      <w:pPr>
        <w:pStyle w:val="Heading1"/>
        <w:rPr>
          <w:b/>
          <w:bCs/>
        </w:rPr>
      </w:pPr>
      <w:bookmarkStart w:id="0" w:name="_Toc153890687"/>
      <w:r w:rsidRPr="003675E7">
        <w:rPr>
          <w:b/>
          <w:bCs/>
        </w:rPr>
        <w:t xml:space="preserve">5. </w:t>
      </w:r>
      <w:r w:rsidRPr="003675E7">
        <w:rPr>
          <w:rFonts w:hint="cs"/>
          <w:b/>
          <w:bCs/>
          <w:cs/>
        </w:rPr>
        <w:t xml:space="preserve">ยาแผนไทย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ใช้เฉพาะที่ </w:t>
      </w:r>
      <w:r w:rsidRPr="003675E7">
        <w:rPr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>ยาเป่าจมูก</w:t>
      </w:r>
      <w:bookmarkEnd w:id="0"/>
    </w:p>
    <w:p w14:paraId="691CC495" w14:textId="77777777" w:rsidR="00F9457D" w:rsidRPr="003675E7" w:rsidRDefault="00F9457D" w:rsidP="00F9457D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347F275A" w14:textId="77777777" w:rsidTr="007F0282">
        <w:tc>
          <w:tcPr>
            <w:tcW w:w="10206" w:type="dxa"/>
          </w:tcPr>
          <w:p w14:paraId="3415D940" w14:textId="77777777" w:rsidR="008F5BA4" w:rsidRPr="003675E7" w:rsidRDefault="008F5BA4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453C4711" w14:textId="77777777" w:rsidR="008F5BA4" w:rsidRPr="003675E7" w:rsidRDefault="008F5BA4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0D1568D0" w14:textId="77777777" w:rsidR="008F5BA4" w:rsidRPr="003675E7" w:rsidRDefault="008F5BA4" w:rsidP="008F5BA4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0962A11F" w14:textId="77777777" w:rsidR="008F5BA4" w:rsidRPr="003675E7" w:rsidRDefault="008F5BA4" w:rsidP="008F5BA4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3B994BA7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7CBE686" w14:textId="77777777" w:rsidR="008F5BA4" w:rsidRPr="003675E7" w:rsidRDefault="008F5BA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5457685D" w14:textId="77777777" w:rsidR="008F5BA4" w:rsidRPr="003675E7" w:rsidRDefault="008F5BA4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384B8EC7" w14:textId="77777777" w:rsidR="008F5BA4" w:rsidRPr="003675E7" w:rsidRDefault="008F5BA4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45B13DB6" w14:textId="27732135" w:rsidR="008F5BA4" w:rsidRPr="003675E7" w:rsidRDefault="008F5BA4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BED590E" w14:textId="77777777" w:rsidTr="007F0282">
        <w:tc>
          <w:tcPr>
            <w:tcW w:w="724" w:type="dxa"/>
          </w:tcPr>
          <w:p w14:paraId="02F82C0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05BD9A4E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491D1FE" w14:textId="5A190D2D" w:rsidR="008F5BA4" w:rsidRPr="003675E7" w:rsidRDefault="008F5BA4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/>
                <w:cs/>
              </w:rPr>
              <w:t>ผงยาสีน้ำตาล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931F0BE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สังเกตด้วยตา</w:t>
            </w:r>
          </w:p>
        </w:tc>
      </w:tr>
      <w:tr w:rsidR="003675E7" w:rsidRPr="003675E7" w14:paraId="34A891CF" w14:textId="77777777" w:rsidTr="007F0282">
        <w:tc>
          <w:tcPr>
            <w:tcW w:w="724" w:type="dxa"/>
          </w:tcPr>
          <w:p w14:paraId="4B7E321F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4355A667" w14:textId="77777777" w:rsidR="008F5BA4" w:rsidRPr="003675E7" w:rsidRDefault="008F5BA4" w:rsidP="007F0282">
            <w:pPr>
              <w:jc w:val="both"/>
            </w:pPr>
            <w:r w:rsidRPr="003675E7">
              <w:rPr>
                <w:cs/>
              </w:rPr>
              <w:t>ขนาดอนุภาค</w:t>
            </w:r>
          </w:p>
        </w:tc>
        <w:tc>
          <w:tcPr>
            <w:tcW w:w="3192" w:type="dxa"/>
          </w:tcPr>
          <w:p w14:paraId="47DDA0C6" w14:textId="0E1B4D98" w:rsidR="008F5BA4" w:rsidRPr="003675E7" w:rsidRDefault="008F5BA4" w:rsidP="007F0282">
            <w:pPr>
              <w:jc w:val="center"/>
              <w:rPr>
                <w:rFonts w:eastAsia="TH SarabunPSK"/>
              </w:rPr>
            </w:pPr>
            <w:r w:rsidRPr="00A57A5A">
              <w:rPr>
                <w:rFonts w:eastAsia="TH SarabunPSK" w:hint="cs"/>
                <w:cs/>
              </w:rPr>
              <w:t>ผ่านแร่งเบอร์ 40 ไม่น้อยกว่า 95</w:t>
            </w:r>
            <w:r w:rsidR="00AD740E" w:rsidRPr="00A57A5A">
              <w:rPr>
                <w:rFonts w:eastAsia="TH SarabunPSK"/>
              </w:rPr>
              <w:t>.0</w:t>
            </w:r>
            <w:r w:rsidRPr="00A57A5A">
              <w:rPr>
                <w:rFonts w:eastAsia="TH SarabunPSK"/>
              </w:rPr>
              <w:t>%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1C6DA03A" w14:textId="77777777" w:rsidR="008F5BA4" w:rsidRPr="003675E7" w:rsidRDefault="008F5BA4" w:rsidP="007F0282">
            <w:pPr>
              <w:jc w:val="center"/>
              <w:rPr>
                <w:rFonts w:eastAsia="Times New Roman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0949CEE" w14:textId="77777777" w:rsidTr="007F0282">
        <w:tc>
          <w:tcPr>
            <w:tcW w:w="724" w:type="dxa"/>
            <w:vMerge w:val="restart"/>
          </w:tcPr>
          <w:p w14:paraId="41EE89A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7233171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C2CA63A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77F1C16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4847D680" w14:textId="77777777" w:rsidTr="007F0282">
        <w:tc>
          <w:tcPr>
            <w:tcW w:w="724" w:type="dxa"/>
            <w:vMerge/>
          </w:tcPr>
          <w:p w14:paraId="3054FF2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7CD207B" w14:textId="77777777" w:rsidR="008F5BA4" w:rsidRPr="003675E7" w:rsidRDefault="008F5BA4" w:rsidP="007F0282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rFonts w:hint="cs"/>
                <w:spacing w:val="-12"/>
                <w:kern w:val="24"/>
                <w:cs/>
              </w:rPr>
              <w:t>3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2363FA0F" w14:textId="2F16F7DB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2</w:t>
            </w:r>
            <w:r w:rsidRPr="003675E7">
              <w:rPr>
                <w:rFonts w:eastAsia="TH SarabunPSK"/>
              </w:rPr>
              <w:t xml:space="preserve"> cfu</w:t>
            </w:r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D7CD017" w14:textId="77777777" w:rsidR="008F5BA4" w:rsidRPr="003675E7" w:rsidRDefault="008F5BA4" w:rsidP="007F0282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6B37AA67" w14:textId="77777777" w:rsidTr="007F0282">
        <w:tc>
          <w:tcPr>
            <w:tcW w:w="724" w:type="dxa"/>
            <w:vMerge/>
          </w:tcPr>
          <w:p w14:paraId="06FCC5A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A37EA71" w14:textId="77777777" w:rsidR="008F5BA4" w:rsidRPr="003675E7" w:rsidRDefault="008F5BA4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3E29C92B" w14:textId="1F2F47AE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2</w:t>
            </w:r>
            <w:r w:rsidRPr="003675E7">
              <w:rPr>
                <w:rFonts w:eastAsia="TH SarabunPSK"/>
              </w:rPr>
              <w:t>x10 cfu</w:t>
            </w:r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64174179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3DDF515" w14:textId="77777777" w:rsidTr="007F0282">
        <w:tc>
          <w:tcPr>
            <w:tcW w:w="724" w:type="dxa"/>
            <w:vMerge/>
          </w:tcPr>
          <w:p w14:paraId="51911D64" w14:textId="77777777" w:rsidR="008F5BA4" w:rsidRPr="003675E7" w:rsidRDefault="008F5BA4" w:rsidP="008F5BA4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4721556D" w14:textId="43FDAF9B" w:rsidR="008F5BA4" w:rsidRPr="003675E7" w:rsidRDefault="008F5BA4" w:rsidP="008F5BA4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3.</w:t>
            </w:r>
            <w:r w:rsidR="00464257"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  <w:cs/>
              </w:rPr>
              <w:t xml:space="preserve">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64D7171A" w14:textId="3B9F2F60" w:rsidR="008F5BA4" w:rsidRPr="003675E7" w:rsidRDefault="008F5BA4" w:rsidP="008F5BA4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2A9E3EDA" w14:textId="433CD7C8" w:rsidR="008F5BA4" w:rsidRPr="003675E7" w:rsidRDefault="008F5BA4" w:rsidP="008F5BA4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17E89C69" w14:textId="77777777" w:rsidTr="007F0282">
        <w:tc>
          <w:tcPr>
            <w:tcW w:w="724" w:type="dxa"/>
            <w:vMerge/>
          </w:tcPr>
          <w:p w14:paraId="6787B526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5C3D61EC" w14:textId="69E1BEEB" w:rsidR="00464257" w:rsidRPr="003675E7" w:rsidRDefault="00464257" w:rsidP="00464257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39E282E3" w14:textId="14663542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41C40460" w14:textId="3015F06E" w:rsidR="00464257" w:rsidRPr="003675E7" w:rsidRDefault="00464257" w:rsidP="00464257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0AF1EC7" w14:textId="77777777" w:rsidTr="007F0282">
        <w:tc>
          <w:tcPr>
            <w:tcW w:w="724" w:type="dxa"/>
            <w:vMerge/>
          </w:tcPr>
          <w:p w14:paraId="51C53133" w14:textId="77777777" w:rsidR="00464257" w:rsidRPr="003675E7" w:rsidRDefault="00464257" w:rsidP="00464257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14FD4F31" w14:textId="525980F7" w:rsidR="00464257" w:rsidRPr="003675E7" w:rsidRDefault="00464257" w:rsidP="00464257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3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54D3C039" w14:textId="1DCDE77B" w:rsidR="00464257" w:rsidRPr="003675E7" w:rsidRDefault="00464257" w:rsidP="00464257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5A82381A" w14:textId="5C079D00" w:rsidR="00464257" w:rsidRPr="003675E7" w:rsidRDefault="00464257" w:rsidP="00464257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491E423B" w14:textId="77777777" w:rsidTr="007F0282">
        <w:tc>
          <w:tcPr>
            <w:tcW w:w="724" w:type="dxa"/>
            <w:vMerge w:val="restart"/>
          </w:tcPr>
          <w:p w14:paraId="693C9042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53771741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1AC40C4E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6E18D13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542A5571" w14:textId="77777777" w:rsidTr="007F0282">
        <w:tc>
          <w:tcPr>
            <w:tcW w:w="724" w:type="dxa"/>
            <w:vMerge/>
          </w:tcPr>
          <w:p w14:paraId="28DFADF9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821E973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80598E6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49C78B44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7369622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0A4D5E5" w14:textId="77777777" w:rsidTr="007F0282">
        <w:tc>
          <w:tcPr>
            <w:tcW w:w="724" w:type="dxa"/>
            <w:vMerge/>
          </w:tcPr>
          <w:p w14:paraId="771CA7A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582562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D9EDC2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27146F8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EBC80C5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32E05CA" w14:textId="77777777" w:rsidTr="007F0282">
        <w:tc>
          <w:tcPr>
            <w:tcW w:w="724" w:type="dxa"/>
            <w:vMerge/>
          </w:tcPr>
          <w:p w14:paraId="1EAE5AE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1E1356B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57CB0EE1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406B2BE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3003F72B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024C862" w14:textId="77777777" w:rsidTr="007F0282">
        <w:trPr>
          <w:trHeight w:val="121"/>
        </w:trPr>
        <w:tc>
          <w:tcPr>
            <w:tcW w:w="724" w:type="dxa"/>
            <w:vMerge/>
          </w:tcPr>
          <w:p w14:paraId="37A0CFB4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2F4D0482" w14:textId="77777777" w:rsidR="008F5BA4" w:rsidRPr="003675E7" w:rsidRDefault="008F5BA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4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38B2BA15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B997CB7" w14:textId="77777777" w:rsidR="008F5BA4" w:rsidRPr="003675E7" w:rsidRDefault="008F5BA4" w:rsidP="007F0282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0A523E18" w14:textId="77777777" w:rsidR="008F5BA4" w:rsidRPr="003675E7" w:rsidRDefault="008F5BA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6E280AC6" w14:textId="77777777" w:rsidR="008F5BA4" w:rsidRPr="003675E7" w:rsidRDefault="008F5BA4" w:rsidP="008F5BA4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11325075" w14:textId="2CC5BB04" w:rsidR="008F5BA4" w:rsidRDefault="008F5BA4" w:rsidP="008F5BA4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2E3455F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33E918D1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38A451CF" w14:textId="1069D276" w:rsidR="00A57A5A" w:rsidRPr="003675E7" w:rsidRDefault="00A57A5A" w:rsidP="00EB573E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</w:p>
    <w:p w14:paraId="78167E98" w14:textId="2F4DC6B4" w:rsidR="00AD740E" w:rsidRPr="003675E7" w:rsidRDefault="00AD740E" w:rsidP="008F5BA4"/>
    <w:sectPr w:rsidR="00AD740E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3EB0" w14:textId="77777777" w:rsidR="0018129B" w:rsidRDefault="0018129B" w:rsidP="00332618">
      <w:r>
        <w:separator/>
      </w:r>
    </w:p>
  </w:endnote>
  <w:endnote w:type="continuationSeparator" w:id="0">
    <w:p w14:paraId="1174E4E7" w14:textId="77777777" w:rsidR="0018129B" w:rsidRDefault="0018129B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16521" w14:textId="77777777" w:rsidR="0018129B" w:rsidRDefault="0018129B" w:rsidP="00332618">
      <w:r>
        <w:separator/>
      </w:r>
    </w:p>
  </w:footnote>
  <w:footnote w:type="continuationSeparator" w:id="0">
    <w:p w14:paraId="3A9A53D5" w14:textId="77777777" w:rsidR="0018129B" w:rsidRDefault="0018129B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55086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0F69B6"/>
    <w:rsid w:val="00101588"/>
    <w:rsid w:val="001227B1"/>
    <w:rsid w:val="00130DE8"/>
    <w:rsid w:val="0014486F"/>
    <w:rsid w:val="00150930"/>
    <w:rsid w:val="00152C6B"/>
    <w:rsid w:val="00153BC1"/>
    <w:rsid w:val="0015624A"/>
    <w:rsid w:val="00162196"/>
    <w:rsid w:val="0018129B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D54EB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222F8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35578"/>
    <w:rsid w:val="00D877A0"/>
    <w:rsid w:val="00D90282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B573E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66B44-AB17-4B7D-B0B3-A88A306DD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PUNTHARIKA KAEOKHIEW</cp:lastModifiedBy>
  <cp:revision>4</cp:revision>
  <cp:lastPrinted>2024-01-05T08:17:00Z</cp:lastPrinted>
  <dcterms:created xsi:type="dcterms:W3CDTF">2024-01-05T08:17:00Z</dcterms:created>
  <dcterms:modified xsi:type="dcterms:W3CDTF">2024-01-08T02:19:00Z</dcterms:modified>
</cp:coreProperties>
</file>